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C4718A" w:rsidRPr="00B24C8E" w:rsidTr="00B24C8E">
        <w:trPr>
          <w:cantSplit/>
          <w:trHeight w:val="1152"/>
        </w:trPr>
        <w:tc>
          <w:tcPr>
            <w:tcW w:w="4788" w:type="dxa"/>
          </w:tcPr>
          <w:p w:rsidR="00C4718A" w:rsidRPr="00B24C8E" w:rsidRDefault="00C4718A">
            <w:pPr>
              <w:rPr>
                <w:rFonts w:ascii="Arial" w:hAnsi="Arial"/>
              </w:rPr>
            </w:pPr>
            <w:r w:rsidRPr="00B24C8E">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1.6pt;margin-top:-.3pt;width:130.3pt;height:43.3pt;z-index:-251658752" wrapcoords="1998 379 250 758 -125 1895 -125 14021 624 18568 2123 21221 2247 21221 3496 21221 21225 20084 21101 18568 21600 15916 21350 15158 17729 12505 17979 8716 20351 6442 20351 1137 3871 379 1998 379">
                  <v:imagedata r:id="rId6" o:title="N"/>
                  <w10:wrap type="tight"/>
                </v:shape>
              </w:pict>
            </w:r>
          </w:p>
        </w:tc>
      </w:tr>
    </w:tbl>
    <w:p w:rsidR="000B2151" w:rsidRDefault="000B2151" w:rsidP="000B2151">
      <w:pPr>
        <w:jc w:val="both"/>
        <w:rPr>
          <w:rFonts w:ascii="Arial Narrow" w:hAnsi="Arial Narrow"/>
          <w:sz w:val="14"/>
        </w:rPr>
      </w:pPr>
    </w:p>
    <w:p w:rsidR="00495620" w:rsidRDefault="00495620" w:rsidP="000B2151">
      <w:pPr>
        <w:jc w:val="both"/>
        <w:rPr>
          <w:rFonts w:ascii="Arial Narrow" w:hAnsi="Arial Narrow"/>
          <w:sz w:val="14"/>
        </w:rPr>
      </w:pPr>
    </w:p>
    <w:p w:rsidR="000B2151" w:rsidRDefault="000B2151" w:rsidP="000B2151">
      <w:pPr>
        <w:jc w:val="both"/>
        <w:rPr>
          <w:rFonts w:ascii="Arial Narrow" w:hAnsi="Arial Narrow"/>
          <w:sz w:val="11"/>
          <w:szCs w:val="11"/>
        </w:rPr>
      </w:pPr>
    </w:p>
    <w:p w:rsidR="00C4718A" w:rsidRDefault="00C4718A" w:rsidP="00D63DA7">
      <w:pPr>
        <w:jc w:val="both"/>
        <w:rPr>
          <w:rFonts w:ascii="Arial Black" w:hAnsi="Arial Black" w:cs="Arial"/>
          <w:sz w:val="11"/>
          <w:szCs w:val="11"/>
        </w:rPr>
      </w:pPr>
      <w:r w:rsidRPr="00D63DA7">
        <w:rPr>
          <w:rFonts w:ascii="Arial Black" w:hAnsi="Arial Black" w:cs="Arial"/>
          <w:sz w:val="11"/>
          <w:szCs w:val="11"/>
        </w:rPr>
        <w:t xml:space="preserve">Commission on </w:t>
      </w:r>
      <w:r w:rsidR="00C95FE8" w:rsidRPr="00D63DA7">
        <w:rPr>
          <w:rFonts w:ascii="Arial Black" w:hAnsi="Arial Black" w:cs="Arial"/>
          <w:sz w:val="11"/>
          <w:szCs w:val="11"/>
        </w:rPr>
        <w:t>D</w:t>
      </w:r>
      <w:r w:rsidRPr="00D63DA7">
        <w:rPr>
          <w:rFonts w:ascii="Arial Black" w:hAnsi="Arial Black" w:cs="Arial"/>
          <w:sz w:val="11"/>
          <w:szCs w:val="11"/>
        </w:rPr>
        <w:t>isability Access and De</w:t>
      </w:r>
      <w:r w:rsidR="00D63DA7" w:rsidRPr="00D63DA7">
        <w:rPr>
          <w:rFonts w:ascii="Arial Black" w:hAnsi="Arial Black" w:cs="Arial"/>
          <w:sz w:val="11"/>
          <w:szCs w:val="11"/>
        </w:rPr>
        <w:t xml:space="preserve">sign    </w:t>
      </w:r>
    </w:p>
    <w:p w:rsidR="00A75138" w:rsidRDefault="00A75138" w:rsidP="00A75138">
      <w:pPr>
        <w:rPr>
          <w:rFonts w:ascii="Arial" w:hAnsi="Arial"/>
        </w:rPr>
      </w:pPr>
    </w:p>
    <w:p w:rsidR="00A75138" w:rsidRDefault="00A75138" w:rsidP="00A75138">
      <w:pPr>
        <w:rPr>
          <w:rFonts w:ascii="Arial" w:hAnsi="Arial"/>
        </w:rPr>
      </w:pPr>
    </w:p>
    <w:p w:rsidR="00A75138" w:rsidRDefault="00A75138" w:rsidP="00A75138">
      <w:pPr>
        <w:rPr>
          <w:rFonts w:ascii="Arial" w:hAnsi="Arial"/>
        </w:rPr>
      </w:pPr>
      <w:r>
        <w:rPr>
          <w:rFonts w:ascii="Arial" w:hAnsi="Arial"/>
        </w:rPr>
        <w:t>Date:</w:t>
      </w:r>
      <w:r>
        <w:rPr>
          <w:rFonts w:ascii="Arial" w:hAnsi="Arial"/>
        </w:rPr>
        <w:tab/>
        <w:t>May 3, 2010</w:t>
      </w:r>
    </w:p>
    <w:p w:rsidR="00A75138" w:rsidRDefault="00A75138" w:rsidP="00A75138">
      <w:pPr>
        <w:rPr>
          <w:rFonts w:ascii="Arial" w:hAnsi="Arial"/>
        </w:rPr>
      </w:pPr>
    </w:p>
    <w:p w:rsidR="00A75138" w:rsidRDefault="00A75138" w:rsidP="00A75138">
      <w:pPr>
        <w:rPr>
          <w:rFonts w:ascii="Arial" w:hAnsi="Arial"/>
        </w:rPr>
      </w:pPr>
      <w:r>
        <w:rPr>
          <w:rFonts w:ascii="Arial" w:hAnsi="Arial"/>
        </w:rPr>
        <w:t>To:</w:t>
      </w:r>
      <w:r>
        <w:rPr>
          <w:rFonts w:ascii="Arial" w:hAnsi="Arial"/>
        </w:rPr>
        <w:tab/>
        <w:t>David Camacho, Office of the President</w:t>
      </w:r>
    </w:p>
    <w:p w:rsidR="00A75138" w:rsidRDefault="00A75138" w:rsidP="00A75138">
      <w:pPr>
        <w:rPr>
          <w:rFonts w:ascii="Arial" w:hAnsi="Arial"/>
        </w:rPr>
      </w:pPr>
      <w:r>
        <w:rPr>
          <w:rFonts w:ascii="Arial" w:hAnsi="Arial"/>
        </w:rPr>
        <w:tab/>
        <w:t>Linda Shadiow, Faculty Development Program</w:t>
      </w:r>
    </w:p>
    <w:p w:rsidR="00A75138" w:rsidRDefault="00A75138" w:rsidP="00A75138">
      <w:pPr>
        <w:rPr>
          <w:rFonts w:ascii="Arial" w:hAnsi="Arial"/>
        </w:rPr>
      </w:pPr>
      <w:r>
        <w:rPr>
          <w:rFonts w:ascii="Arial" w:hAnsi="Arial"/>
        </w:rPr>
        <w:tab/>
        <w:t>Sara Aleman, Ethnic Studies</w:t>
      </w:r>
    </w:p>
    <w:p w:rsidR="00A75138" w:rsidRDefault="00A75138" w:rsidP="00A75138">
      <w:pPr>
        <w:rPr>
          <w:rFonts w:ascii="Arial" w:hAnsi="Arial"/>
        </w:rPr>
      </w:pPr>
    </w:p>
    <w:p w:rsidR="00A75138" w:rsidRDefault="00A75138" w:rsidP="00A75138">
      <w:pPr>
        <w:rPr>
          <w:rFonts w:ascii="Arial" w:hAnsi="Arial"/>
        </w:rPr>
      </w:pPr>
      <w:r>
        <w:rPr>
          <w:rFonts w:ascii="Arial" w:hAnsi="Arial"/>
        </w:rPr>
        <w:t>From:</w:t>
      </w:r>
      <w:r>
        <w:rPr>
          <w:rFonts w:ascii="Arial" w:hAnsi="Arial"/>
        </w:rPr>
        <w:tab/>
        <w:t>Chris Lanterman, Commission on disability Access and Design</w:t>
      </w:r>
    </w:p>
    <w:p w:rsidR="00A75138" w:rsidRDefault="00A75138" w:rsidP="00A75138">
      <w:pPr>
        <w:rPr>
          <w:rFonts w:ascii="Arial" w:hAnsi="Arial"/>
        </w:rPr>
      </w:pPr>
    </w:p>
    <w:p w:rsidR="00A75138" w:rsidRDefault="00A75138" w:rsidP="00A75138">
      <w:pPr>
        <w:rPr>
          <w:rFonts w:ascii="Arial" w:hAnsi="Arial"/>
        </w:rPr>
      </w:pPr>
      <w:r>
        <w:rPr>
          <w:rFonts w:ascii="Arial" w:hAnsi="Arial"/>
        </w:rPr>
        <w:t>Re:</w:t>
      </w:r>
      <w:r>
        <w:rPr>
          <w:rFonts w:ascii="Arial" w:hAnsi="Arial"/>
        </w:rPr>
        <w:tab/>
        <w:t>Community of Practice and Symposium Series</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The Commission on Disability Access and Design (CDAD), along with numerous other constituents at </w:t>
      </w:r>
      <w:smartTag w:uri="urn:schemas-microsoft-com:office:smarttags" w:element="place">
        <w:smartTag w:uri="urn:schemas-microsoft-com:office:smarttags" w:element="PlaceName">
          <w:r>
            <w:rPr>
              <w:rFonts w:ascii="Arial" w:hAnsi="Arial"/>
            </w:rPr>
            <w:t>Northern</w:t>
          </w:r>
        </w:smartTag>
        <w:r>
          <w:rPr>
            <w:rFonts w:ascii="Arial" w:hAnsi="Arial"/>
          </w:rPr>
          <w:t xml:space="preserve"> </w:t>
        </w:r>
        <w:smartTag w:uri="urn:schemas-microsoft-com:office:smarttags" w:element="PlaceName">
          <w:r>
            <w:rPr>
              <w:rFonts w:ascii="Arial" w:hAnsi="Arial"/>
            </w:rPr>
            <w:t>Arizona</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has been involved in many conversations over the past year regarding initiatives such as the Global Learning Recommendations and the Northern Arizona University Strategic Plan. The CDAD is enthusiastic about the university’s ongoing commitment to diversity and equity, especially as NAU reiterates this commitment through these processes and their results.</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We believe that the emerging recognition of disability as an intersecting facet of diversity offers opportunities within the NAU community for extended dialogue and </w:t>
      </w:r>
      <w:proofErr w:type="gramStart"/>
      <w:r>
        <w:rPr>
          <w:rFonts w:ascii="Arial" w:hAnsi="Arial"/>
        </w:rPr>
        <w:t>community</w:t>
      </w:r>
      <w:proofErr w:type="gramEnd"/>
      <w:r>
        <w:rPr>
          <w:rFonts w:ascii="Arial" w:hAnsi="Arial"/>
        </w:rPr>
        <w:t xml:space="preserve"> building in the contexts of learning and teaching. Pragmatic considerations of efficiencies, demographics, and fiscal climate enter into the rationale for exploring the curricular and co-curricular implications of inclusive and universally designed practices and policies. For example, President Haeger presented “The Financial Contexts for Strategic Planning at </w:t>
      </w:r>
      <w:smartTag w:uri="urn:schemas-microsoft-com:office:smarttags" w:element="place">
        <w:smartTag w:uri="urn:schemas-microsoft-com:office:smarttags" w:element="PlaceName">
          <w:r>
            <w:rPr>
              <w:rFonts w:ascii="Arial" w:hAnsi="Arial"/>
            </w:rPr>
            <w:t>Northern</w:t>
          </w:r>
        </w:smartTag>
        <w:r>
          <w:rPr>
            <w:rFonts w:ascii="Arial" w:hAnsi="Arial"/>
          </w:rPr>
          <w:t xml:space="preserve"> </w:t>
        </w:r>
        <w:smartTag w:uri="urn:schemas-microsoft-com:office:smarttags" w:element="PlaceName">
          <w:r>
            <w:rPr>
              <w:rFonts w:ascii="Arial" w:hAnsi="Arial"/>
            </w:rPr>
            <w:t>Arizona</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 on September 16, 2009. In his presentation, President Haeger noted that just over 30 percent of </w:t>
      </w:r>
      <w:smartTag w:uri="urn:schemas-microsoft-com:office:smarttags" w:element="State">
        <w:smartTag w:uri="urn:schemas-microsoft-com:office:smarttags" w:element="place">
          <w:r>
            <w:rPr>
              <w:rFonts w:ascii="Arial" w:hAnsi="Arial"/>
            </w:rPr>
            <w:t>Arizona</w:t>
          </w:r>
        </w:smartTag>
      </w:smartTag>
      <w:r>
        <w:rPr>
          <w:rFonts w:ascii="Arial" w:hAnsi="Arial"/>
        </w:rPr>
        <w:t xml:space="preserve"> residents between the ages of 55 and 64 have a Bachelor’s degree, compared with approximately 27 percent of individuals between the ages of 45 and 54 and 24 percent of individuals ages 25 to 34. These statistics, in conjunction with predictions by Arizona’s Office of the governor (2005) that nearly 26 percent of Arizonans will be age 60 or over by 2020, give cause to consider our aging population within our strategic planning. It is also salient to note that, in 2000, over 40 percent of individuals over the age of   65 reported having one or more disabilities (Waldrop &amp; Stern, 2003).</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Beyond such considerations of efficiency, demographics, and fiscal climate, we certainly value equity of opportunity and social justice as guiding principles within our strategic planning. The recently drafted university strategic plan for FY 2011-2015 includes language, under Goal V: Inclusion, Civility, and Respect, suggesting that the university will “foster and support universally-designed environments.” Additionally, Goal VII: Innovative, Effective, and Accountable Practices,     includes the recommendation to “design products and environments to be usable by all people.” These additions to the </w:t>
      </w:r>
      <w:r>
        <w:rPr>
          <w:rFonts w:ascii="Arial" w:hAnsi="Arial"/>
        </w:rPr>
        <w:lastRenderedPageBreak/>
        <w:t xml:space="preserve">Strategic Plan help to strengthen </w:t>
      </w:r>
      <w:smartTag w:uri="urn:schemas-microsoft-com:office:smarttags" w:element="place">
        <w:smartTag w:uri="urn:schemas-microsoft-com:office:smarttags" w:element="PlaceName">
          <w:r>
            <w:rPr>
              <w:rFonts w:ascii="Arial" w:hAnsi="Arial"/>
            </w:rPr>
            <w:t>Northern</w:t>
          </w:r>
        </w:smartTag>
        <w:r>
          <w:rPr>
            <w:rFonts w:ascii="Arial" w:hAnsi="Arial"/>
          </w:rPr>
          <w:t xml:space="preserve"> </w:t>
        </w:r>
        <w:smartTag w:uri="urn:schemas-microsoft-com:office:smarttags" w:element="PlaceName">
          <w:r>
            <w:rPr>
              <w:rFonts w:ascii="Arial" w:hAnsi="Arial"/>
            </w:rPr>
            <w:t>Arizona</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’s position to meet the needs of students, staff, and faculty throughout the NAU community, regardless of race, ethnicity, age, gender, socio-economic status, disability, or other factors that may affect </w:t>
      </w:r>
      <w:r>
        <w:rPr>
          <w:rFonts w:ascii="Arial" w:hAnsi="Arial" w:cs="Arial"/>
        </w:rPr>
        <w:t xml:space="preserve">equality of educational opportunity (Levin, 1976). </w:t>
      </w:r>
      <w:r>
        <w:rPr>
          <w:rFonts w:ascii="Arial" w:hAnsi="Arial"/>
        </w:rPr>
        <w:t xml:space="preserve"> </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We believe that the Office of the President, the Faculty Development Program, and Ethnic Studies have raised critical questions, shared focused strategies, and enlightened the NAU community on issues of equity around race and ethnicity. The Commission on Disability Access and Design hopes to build on these successes to engender similar results for individuals with disabilities at </w:t>
      </w:r>
      <w:smartTag w:uri="urn:schemas-microsoft-com:office:smarttags" w:element="place">
        <w:smartTag w:uri="urn:schemas-microsoft-com:office:smarttags" w:element="PlaceName">
          <w:r>
            <w:rPr>
              <w:rFonts w:ascii="Arial" w:hAnsi="Arial"/>
            </w:rPr>
            <w:t>Northern</w:t>
          </w:r>
        </w:smartTag>
        <w:r>
          <w:rPr>
            <w:rFonts w:ascii="Arial" w:hAnsi="Arial"/>
          </w:rPr>
          <w:t xml:space="preserve"> </w:t>
        </w:r>
        <w:smartTag w:uri="urn:schemas-microsoft-com:office:smarttags" w:element="PlaceName">
          <w:r>
            <w:rPr>
              <w:rFonts w:ascii="Arial" w:hAnsi="Arial"/>
            </w:rPr>
            <w:t>Arizona</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 and to explore the intersections of diversity as they are supported by inclusive and universal design.   </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To this end, the Commission on Disability Access and Design is seeking the support and guidance of the Office of the President, the Faculty Development Program, and Ethnic Studies in establishing a community of practice around the topic of inclusive and universally-designed instructional practices. This effort would ideally begin during the 2010,2011 academic year, and would bring together faculty who envision positive change through investigations into the reciprocal role of teaching and learning within the context of learner differences, critical self-reflection of assumptions and practices, and substantive and meaningful dialogue regarding the intersections of content, student engagement, and pedagogy. This community of practice will focus on authentic dialogue among participants around these issues, bringing relevant and challenging questions to the table about meeting the needs of diverse learners within the noted contexts of equity, social justice, efficiency, and fiscal constraints.    </w:t>
      </w:r>
    </w:p>
    <w:p w:rsidR="00A75138" w:rsidRDefault="00A75138" w:rsidP="00A75138">
      <w:pPr>
        <w:rPr>
          <w:rFonts w:ascii="Arial" w:hAnsi="Arial"/>
        </w:rPr>
      </w:pPr>
    </w:p>
    <w:p w:rsidR="00A75138" w:rsidRDefault="00A75138" w:rsidP="00A75138">
      <w:pPr>
        <w:rPr>
          <w:rFonts w:ascii="Arial" w:hAnsi="Arial"/>
        </w:rPr>
      </w:pPr>
      <w:r>
        <w:rPr>
          <w:rFonts w:ascii="Arial" w:hAnsi="Arial"/>
        </w:rPr>
        <w:t>In addition to our desire to establish this community of practice, the CDAD would like to learn from and apply the experiences and successes of the Diversity Symposium Series to create a pilot symposium series focused on inclusive and universal design. We propose a series of four sessions over the course of 2010-2011. These sessions would extend the lessons learned about learner differences and learner-centered practices    by sharing strategies and approaches that infuse principles of universal and inclusive design. They would also bring together students, staff, and faculty    to discuss perspectives on disability and its intersections with diversity, pedagogy, and policy.</w:t>
      </w:r>
    </w:p>
    <w:p w:rsidR="00A75138" w:rsidRDefault="00A75138" w:rsidP="00A75138">
      <w:pPr>
        <w:rPr>
          <w:rFonts w:ascii="Arial" w:hAnsi="Arial"/>
        </w:rPr>
      </w:pPr>
    </w:p>
    <w:p w:rsidR="00A75138" w:rsidRDefault="00A75138" w:rsidP="00A75138">
      <w:pPr>
        <w:rPr>
          <w:rFonts w:ascii="Arial" w:hAnsi="Arial"/>
        </w:rPr>
      </w:pPr>
      <w:r>
        <w:rPr>
          <w:rFonts w:ascii="Arial" w:hAnsi="Arial"/>
        </w:rPr>
        <w:t xml:space="preserve">The Commission on Disability Access and Design looks forward to collaborating with each of you to discuss the possibilities regarding this proposal. On behalf of the CDAD, I would be pleased to answer any questions or arrange any meetings or conversations you would like to have regarding this proposal. You may reach me at </w:t>
      </w:r>
      <w:hyperlink r:id="rId7" w:history="1">
        <w:r>
          <w:rPr>
            <w:rStyle w:val="Hyperlink"/>
            <w:rFonts w:ascii="Arial" w:hAnsi="Arial"/>
          </w:rPr>
          <w:t>Chris.Lanterman@nau.edu</w:t>
        </w:r>
      </w:hyperlink>
      <w:r>
        <w:rPr>
          <w:rFonts w:ascii="Arial" w:hAnsi="Arial"/>
        </w:rPr>
        <w:t xml:space="preserve"> or 523-3575. Thank you for your consideration of our thoughts on the community of practice and pilot symposium series. </w:t>
      </w:r>
    </w:p>
    <w:p w:rsidR="00A75138" w:rsidRDefault="00A75138" w:rsidP="00A75138">
      <w:pPr>
        <w:rPr>
          <w:rFonts w:ascii="Arial" w:hAnsi="Arial"/>
        </w:rPr>
      </w:pPr>
    </w:p>
    <w:p w:rsidR="00A75138" w:rsidRDefault="00A75138" w:rsidP="00A75138">
      <w:pPr>
        <w:jc w:val="center"/>
        <w:rPr>
          <w:rFonts w:ascii="Arial" w:hAnsi="Arial"/>
        </w:rPr>
      </w:pPr>
      <w:r>
        <w:rPr>
          <w:rFonts w:ascii="Arial" w:hAnsi="Arial"/>
        </w:rPr>
        <w:br w:type="page"/>
      </w:r>
      <w:r>
        <w:rPr>
          <w:rFonts w:ascii="Arial" w:hAnsi="Arial"/>
        </w:rPr>
        <w:lastRenderedPageBreak/>
        <w:t>References</w:t>
      </w:r>
    </w:p>
    <w:p w:rsidR="00A75138" w:rsidRDefault="00A75138" w:rsidP="00A75138">
      <w:pPr>
        <w:jc w:val="center"/>
        <w:rPr>
          <w:rFonts w:ascii="Arial" w:hAnsi="Arial"/>
        </w:rPr>
      </w:pPr>
    </w:p>
    <w:p w:rsidR="00A75138" w:rsidRDefault="00A75138" w:rsidP="00A75138">
      <w:pPr>
        <w:ind w:left="720" w:hanging="720"/>
        <w:jc w:val="center"/>
        <w:rPr>
          <w:rFonts w:ascii="Arial" w:hAnsi="Arial"/>
        </w:rPr>
      </w:pPr>
      <w:r>
        <w:rPr>
          <w:rFonts w:ascii="Arial" w:hAnsi="Arial"/>
        </w:rPr>
        <w:t xml:space="preserve">Levin, H. M. (1976). </w:t>
      </w:r>
      <w:proofErr w:type="gramStart"/>
      <w:r>
        <w:rPr>
          <w:rFonts w:ascii="Arial" w:hAnsi="Arial"/>
        </w:rPr>
        <w:t xml:space="preserve">Opportunity and social inequality in </w:t>
      </w:r>
      <w:smartTag w:uri="urn:schemas-microsoft-com:office:smarttags" w:element="place">
        <w:r>
          <w:rPr>
            <w:rFonts w:ascii="Arial" w:hAnsi="Arial"/>
          </w:rPr>
          <w:t>Western Europe</w:t>
        </w:r>
      </w:smartTag>
      <w:r>
        <w:rPr>
          <w:rFonts w:ascii="Arial" w:hAnsi="Arial"/>
        </w:rPr>
        <w:t xml:space="preserve"> (electronic version).</w:t>
      </w:r>
      <w:proofErr w:type="gramEnd"/>
      <w:r>
        <w:rPr>
          <w:rFonts w:ascii="Arial" w:hAnsi="Arial"/>
        </w:rPr>
        <w:t xml:space="preserve"> </w:t>
      </w:r>
      <w:r>
        <w:rPr>
          <w:rFonts w:ascii="Arial" w:hAnsi="Arial"/>
          <w:i/>
        </w:rPr>
        <w:t>Social Problems, 24</w:t>
      </w:r>
      <w:r>
        <w:rPr>
          <w:rFonts w:ascii="Arial" w:hAnsi="Arial"/>
        </w:rPr>
        <w:t xml:space="preserve">(2), 148-172. </w:t>
      </w:r>
    </w:p>
    <w:p w:rsidR="00A75138" w:rsidRDefault="00A75138" w:rsidP="00A75138">
      <w:pPr>
        <w:ind w:left="720" w:hanging="720"/>
        <w:jc w:val="center"/>
        <w:rPr>
          <w:rFonts w:ascii="Arial" w:hAnsi="Arial"/>
        </w:rPr>
      </w:pPr>
    </w:p>
    <w:p w:rsidR="00A75138" w:rsidRDefault="00A75138" w:rsidP="00A75138">
      <w:pPr>
        <w:ind w:left="720" w:hanging="720"/>
        <w:jc w:val="center"/>
        <w:rPr>
          <w:rFonts w:ascii="Arial" w:hAnsi="Arial"/>
        </w:rPr>
      </w:pPr>
      <w:r>
        <w:rPr>
          <w:rFonts w:ascii="Arial" w:hAnsi="Arial"/>
        </w:rPr>
        <w:t xml:space="preserve">Napolitano, G. J. (2005). </w:t>
      </w:r>
      <w:proofErr w:type="gramStart"/>
      <w:r>
        <w:rPr>
          <w:rFonts w:ascii="Arial" w:hAnsi="Arial"/>
        </w:rPr>
        <w:t xml:space="preserve">Aging 2020: </w:t>
      </w:r>
      <w:smartTag w:uri="urn:schemas-microsoft-com:office:smarttags" w:element="State">
        <w:smartTag w:uri="urn:schemas-microsoft-com:office:smarttags" w:element="place">
          <w:r>
            <w:rPr>
              <w:rFonts w:ascii="Arial" w:hAnsi="Arial"/>
            </w:rPr>
            <w:t>Arizona</w:t>
          </w:r>
        </w:smartTag>
      </w:smartTag>
      <w:r>
        <w:rPr>
          <w:rFonts w:ascii="Arial" w:hAnsi="Arial"/>
        </w:rPr>
        <w:t>’s plan for an aging population.</w:t>
      </w:r>
      <w:proofErr w:type="gramEnd"/>
      <w:r>
        <w:rPr>
          <w:rFonts w:ascii="Arial" w:hAnsi="Arial"/>
        </w:rPr>
        <w:t xml:space="preserve"> </w:t>
      </w:r>
      <w:smartTag w:uri="urn:schemas-microsoft-com:office:smarttags" w:element="City">
        <w:smartTag w:uri="urn:schemas-microsoft-com:office:smarttags" w:element="place">
          <w:r>
            <w:rPr>
              <w:rFonts w:ascii="Arial" w:hAnsi="Arial"/>
            </w:rPr>
            <w:t>Phoenix</w:t>
          </w:r>
        </w:smartTag>
      </w:smartTag>
      <w:r>
        <w:rPr>
          <w:rFonts w:ascii="Arial" w:hAnsi="Arial"/>
        </w:rPr>
        <w:t>: Office of the Governor.</w:t>
      </w:r>
    </w:p>
    <w:p w:rsidR="00A75138" w:rsidRDefault="00A75138" w:rsidP="00A75138">
      <w:pPr>
        <w:ind w:left="720" w:hanging="720"/>
        <w:jc w:val="center"/>
        <w:rPr>
          <w:rFonts w:ascii="Arial" w:hAnsi="Arial"/>
        </w:rPr>
      </w:pPr>
    </w:p>
    <w:p w:rsidR="00A75138" w:rsidRDefault="00A75138" w:rsidP="00A75138">
      <w:pPr>
        <w:ind w:left="720" w:hanging="720"/>
        <w:jc w:val="center"/>
        <w:rPr>
          <w:rFonts w:ascii="Arial" w:hAnsi="Arial"/>
        </w:rPr>
      </w:pPr>
      <w:proofErr w:type="gramStart"/>
      <w:r>
        <w:rPr>
          <w:rFonts w:ascii="Arial" w:hAnsi="Arial"/>
        </w:rPr>
        <w:t>Waldrop, J. &amp; Stern, S. M. (2003).</w:t>
      </w:r>
      <w:proofErr w:type="gramEnd"/>
      <w:r>
        <w:rPr>
          <w:rFonts w:ascii="Arial" w:hAnsi="Arial"/>
        </w:rPr>
        <w:t xml:space="preserve"> Disability status: 2000 (Census 2000 brief). </w:t>
      </w:r>
      <w:smartTag w:uri="urn:schemas-microsoft-com:office:smarttags" w:element="City">
        <w:r>
          <w:rPr>
            <w:rFonts w:ascii="Arial" w:hAnsi="Arial"/>
          </w:rPr>
          <w:t>Washington</w:t>
        </w:r>
      </w:smartTag>
      <w:r>
        <w:rPr>
          <w:rFonts w:ascii="Arial" w:hAnsi="Arial"/>
        </w:rPr>
        <w:t xml:space="preserve">, </w:t>
      </w:r>
      <w:smartTag w:uri="urn:schemas-microsoft-com:office:smarttags" w:element="State">
        <w:r>
          <w:rPr>
            <w:rFonts w:ascii="Arial" w:hAnsi="Arial"/>
          </w:rPr>
          <w:t>D.C.</w:t>
        </w:r>
      </w:smartTag>
      <w:r>
        <w:rPr>
          <w:rFonts w:ascii="Arial" w:hAnsi="Arial"/>
        </w:rPr>
        <w:t xml:space="preserve">: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Census Bureau.</w:t>
      </w:r>
    </w:p>
    <w:p w:rsidR="00A75138" w:rsidRDefault="00A75138" w:rsidP="00A75138">
      <w:pPr>
        <w:ind w:left="720" w:hanging="720"/>
        <w:jc w:val="center"/>
        <w:rPr>
          <w:rFonts w:ascii="Arial" w:hAnsi="Arial"/>
        </w:rPr>
      </w:pPr>
    </w:p>
    <w:p w:rsidR="00A75138" w:rsidRDefault="00A75138" w:rsidP="00A75138">
      <w:pPr>
        <w:ind w:left="720" w:hanging="720"/>
        <w:jc w:val="center"/>
        <w:rPr>
          <w:rFonts w:ascii="Arial" w:hAnsi="Arial"/>
        </w:rPr>
      </w:pPr>
      <w:r>
        <w:rPr>
          <w:rFonts w:ascii="Arial" w:hAnsi="Arial"/>
        </w:rPr>
        <w:t xml:space="preserve"> </w:t>
      </w:r>
    </w:p>
    <w:p w:rsidR="002035B3" w:rsidRPr="006849E7" w:rsidRDefault="002035B3" w:rsidP="00D63DA7">
      <w:pPr>
        <w:jc w:val="both"/>
        <w:rPr>
          <w:rFonts w:ascii="Arial" w:hAnsi="Arial" w:cs="Arial"/>
          <w:sz w:val="26"/>
          <w:szCs w:val="11"/>
        </w:rPr>
      </w:pPr>
    </w:p>
    <w:sectPr w:rsidR="002035B3" w:rsidRPr="006849E7" w:rsidSect="00E40780">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66C" w:rsidRDefault="007C066C">
      <w:r>
        <w:separator/>
      </w:r>
    </w:p>
  </w:endnote>
  <w:endnote w:type="continuationSeparator" w:id="0">
    <w:p w:rsidR="007C066C" w:rsidRDefault="007C0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rsidP="00E9065E">
    <w:pPr>
      <w:jc w:val="center"/>
      <w:rPr>
        <w:rFonts w:ascii="Arial Narrow" w:hAnsi="Arial Narrow" w:cs="Arial"/>
        <w:sz w:val="11"/>
        <w:szCs w:val="11"/>
      </w:rPr>
    </w:pPr>
    <w:r>
      <w:rPr>
        <w:rFonts w:ascii="Arial Narrow" w:hAnsi="Arial Narrow" w:cs="Arial"/>
        <w:sz w:val="11"/>
        <w:szCs w:val="11"/>
      </w:rPr>
      <w:t>PO Box 4142     Flagstaff, AZ 86011-4142     (928) 523-0708 (fax)</w:t>
    </w:r>
  </w:p>
  <w:p w:rsidR="009F6A1E" w:rsidRDefault="009F6A1E" w:rsidP="00E9065E">
    <w:pPr>
      <w:rPr>
        <w:rFonts w:ascii="Arial Narrow" w:hAnsi="Arial Narrow" w:cs="Arial"/>
        <w:sz w:val="11"/>
        <w:szCs w:val="11"/>
      </w:rPr>
    </w:pPr>
  </w:p>
  <w:p w:rsidR="009F6A1E" w:rsidRDefault="009F6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66C" w:rsidRDefault="007C066C">
      <w:r>
        <w:separator/>
      </w:r>
    </w:p>
  </w:footnote>
  <w:footnote w:type="continuationSeparator" w:id="0">
    <w:p w:rsidR="007C066C" w:rsidRDefault="007C0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1E" w:rsidRDefault="009F6A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grammar="clean"/>
  <w:attachedTemplate r:id="rId1"/>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5B3"/>
    <w:rsid w:val="00002641"/>
    <w:rsid w:val="00012511"/>
    <w:rsid w:val="000156FD"/>
    <w:rsid w:val="00015729"/>
    <w:rsid w:val="00020FD6"/>
    <w:rsid w:val="00075CFD"/>
    <w:rsid w:val="000939CE"/>
    <w:rsid w:val="000B2151"/>
    <w:rsid w:val="000B7C8A"/>
    <w:rsid w:val="000F4096"/>
    <w:rsid w:val="0010129C"/>
    <w:rsid w:val="00101D80"/>
    <w:rsid w:val="00105177"/>
    <w:rsid w:val="001337CF"/>
    <w:rsid w:val="00167647"/>
    <w:rsid w:val="0017219E"/>
    <w:rsid w:val="001818FA"/>
    <w:rsid w:val="00195FD4"/>
    <w:rsid w:val="001A2382"/>
    <w:rsid w:val="001C2608"/>
    <w:rsid w:val="001D2652"/>
    <w:rsid w:val="001D4064"/>
    <w:rsid w:val="001E5848"/>
    <w:rsid w:val="001F1372"/>
    <w:rsid w:val="001F6328"/>
    <w:rsid w:val="002035B3"/>
    <w:rsid w:val="00234677"/>
    <w:rsid w:val="00242ECB"/>
    <w:rsid w:val="002B7007"/>
    <w:rsid w:val="002D73EA"/>
    <w:rsid w:val="002E3BE8"/>
    <w:rsid w:val="002E79E5"/>
    <w:rsid w:val="00333700"/>
    <w:rsid w:val="00361171"/>
    <w:rsid w:val="00371505"/>
    <w:rsid w:val="003962BF"/>
    <w:rsid w:val="003B4F3A"/>
    <w:rsid w:val="003E33FB"/>
    <w:rsid w:val="003E4AD6"/>
    <w:rsid w:val="003E65DB"/>
    <w:rsid w:val="003F7253"/>
    <w:rsid w:val="00402F1D"/>
    <w:rsid w:val="00426F5E"/>
    <w:rsid w:val="00427149"/>
    <w:rsid w:val="00464656"/>
    <w:rsid w:val="00490631"/>
    <w:rsid w:val="004915B3"/>
    <w:rsid w:val="00495620"/>
    <w:rsid w:val="004967F0"/>
    <w:rsid w:val="004B6D46"/>
    <w:rsid w:val="004C47D8"/>
    <w:rsid w:val="004C5D5E"/>
    <w:rsid w:val="004C6310"/>
    <w:rsid w:val="004F00F5"/>
    <w:rsid w:val="00503716"/>
    <w:rsid w:val="00526651"/>
    <w:rsid w:val="00547E93"/>
    <w:rsid w:val="00557F41"/>
    <w:rsid w:val="005600FA"/>
    <w:rsid w:val="00575CFF"/>
    <w:rsid w:val="0057752F"/>
    <w:rsid w:val="00584728"/>
    <w:rsid w:val="0058487F"/>
    <w:rsid w:val="005958B0"/>
    <w:rsid w:val="005A4AB2"/>
    <w:rsid w:val="005B100E"/>
    <w:rsid w:val="005E781B"/>
    <w:rsid w:val="005F1EEB"/>
    <w:rsid w:val="00643B9E"/>
    <w:rsid w:val="0067277D"/>
    <w:rsid w:val="006849E7"/>
    <w:rsid w:val="006920F7"/>
    <w:rsid w:val="00692775"/>
    <w:rsid w:val="006C48AC"/>
    <w:rsid w:val="006C6312"/>
    <w:rsid w:val="006D0888"/>
    <w:rsid w:val="006D3D11"/>
    <w:rsid w:val="006E1B5B"/>
    <w:rsid w:val="006E7A97"/>
    <w:rsid w:val="006E7BA5"/>
    <w:rsid w:val="00702EA2"/>
    <w:rsid w:val="007074D8"/>
    <w:rsid w:val="00715627"/>
    <w:rsid w:val="00716E78"/>
    <w:rsid w:val="00733DE8"/>
    <w:rsid w:val="007514ED"/>
    <w:rsid w:val="00771BFA"/>
    <w:rsid w:val="00774867"/>
    <w:rsid w:val="0077692C"/>
    <w:rsid w:val="007822D2"/>
    <w:rsid w:val="007A1E4B"/>
    <w:rsid w:val="007B003E"/>
    <w:rsid w:val="007C066C"/>
    <w:rsid w:val="007C090C"/>
    <w:rsid w:val="007F681D"/>
    <w:rsid w:val="008066AE"/>
    <w:rsid w:val="008102AD"/>
    <w:rsid w:val="00810D07"/>
    <w:rsid w:val="008376AD"/>
    <w:rsid w:val="00861A16"/>
    <w:rsid w:val="008658DD"/>
    <w:rsid w:val="00875557"/>
    <w:rsid w:val="008D5092"/>
    <w:rsid w:val="008E0E27"/>
    <w:rsid w:val="008F5E71"/>
    <w:rsid w:val="0091024F"/>
    <w:rsid w:val="0091101C"/>
    <w:rsid w:val="009135CC"/>
    <w:rsid w:val="009174C9"/>
    <w:rsid w:val="00944A22"/>
    <w:rsid w:val="00947F9D"/>
    <w:rsid w:val="009578F2"/>
    <w:rsid w:val="00961030"/>
    <w:rsid w:val="00995522"/>
    <w:rsid w:val="00997CC7"/>
    <w:rsid w:val="009D750E"/>
    <w:rsid w:val="009E1469"/>
    <w:rsid w:val="009F6A1E"/>
    <w:rsid w:val="00A036CD"/>
    <w:rsid w:val="00A306AE"/>
    <w:rsid w:val="00A37612"/>
    <w:rsid w:val="00A3773F"/>
    <w:rsid w:val="00A71FB4"/>
    <w:rsid w:val="00A75138"/>
    <w:rsid w:val="00AB3CDB"/>
    <w:rsid w:val="00AC1E47"/>
    <w:rsid w:val="00AC24C2"/>
    <w:rsid w:val="00AD4576"/>
    <w:rsid w:val="00AD688F"/>
    <w:rsid w:val="00B14104"/>
    <w:rsid w:val="00B24C8E"/>
    <w:rsid w:val="00B306A8"/>
    <w:rsid w:val="00B31C3D"/>
    <w:rsid w:val="00B6796D"/>
    <w:rsid w:val="00B714E9"/>
    <w:rsid w:val="00BC3B33"/>
    <w:rsid w:val="00BE6154"/>
    <w:rsid w:val="00BF23B6"/>
    <w:rsid w:val="00C17792"/>
    <w:rsid w:val="00C21EB9"/>
    <w:rsid w:val="00C4718A"/>
    <w:rsid w:val="00C632D6"/>
    <w:rsid w:val="00C90DCB"/>
    <w:rsid w:val="00C95FE8"/>
    <w:rsid w:val="00CB61B2"/>
    <w:rsid w:val="00CB746A"/>
    <w:rsid w:val="00CC2B28"/>
    <w:rsid w:val="00CF1BE2"/>
    <w:rsid w:val="00CF3E77"/>
    <w:rsid w:val="00D0221F"/>
    <w:rsid w:val="00D10448"/>
    <w:rsid w:val="00D104AF"/>
    <w:rsid w:val="00D143A2"/>
    <w:rsid w:val="00D30ACB"/>
    <w:rsid w:val="00D54055"/>
    <w:rsid w:val="00D56A15"/>
    <w:rsid w:val="00D63DA7"/>
    <w:rsid w:val="00D7597D"/>
    <w:rsid w:val="00D83E9F"/>
    <w:rsid w:val="00DA2F7D"/>
    <w:rsid w:val="00DB2909"/>
    <w:rsid w:val="00DC2BF8"/>
    <w:rsid w:val="00E12277"/>
    <w:rsid w:val="00E15DBB"/>
    <w:rsid w:val="00E32C5F"/>
    <w:rsid w:val="00E40780"/>
    <w:rsid w:val="00E50E50"/>
    <w:rsid w:val="00E61ED1"/>
    <w:rsid w:val="00E702F5"/>
    <w:rsid w:val="00E86410"/>
    <w:rsid w:val="00E9065E"/>
    <w:rsid w:val="00E90F7F"/>
    <w:rsid w:val="00E913AD"/>
    <w:rsid w:val="00EA02A0"/>
    <w:rsid w:val="00EA2EAD"/>
    <w:rsid w:val="00EA7C11"/>
    <w:rsid w:val="00EE639E"/>
    <w:rsid w:val="00EF0DEC"/>
    <w:rsid w:val="00EF430E"/>
    <w:rsid w:val="00F44DBE"/>
    <w:rsid w:val="00F53DC6"/>
    <w:rsid w:val="00F63156"/>
    <w:rsid w:val="00F662CD"/>
    <w:rsid w:val="00F76AF3"/>
    <w:rsid w:val="00F9250B"/>
    <w:rsid w:val="00F96DF2"/>
    <w:rsid w:val="00FB1210"/>
    <w:rsid w:val="00FB5821"/>
    <w:rsid w:val="00FB72E8"/>
    <w:rsid w:val="00FC02F1"/>
    <w:rsid w:val="00FD13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69920">
      <w:bodyDiv w:val="1"/>
      <w:marLeft w:val="0"/>
      <w:marRight w:val="0"/>
      <w:marTop w:val="0"/>
      <w:marBottom w:val="0"/>
      <w:divBdr>
        <w:top w:val="none" w:sz="0" w:space="0" w:color="auto"/>
        <w:left w:val="none" w:sz="0" w:space="0" w:color="auto"/>
        <w:bottom w:val="none" w:sz="0" w:space="0" w:color="auto"/>
        <w:right w:val="none" w:sz="0" w:space="0" w:color="auto"/>
      </w:divBdr>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hris.Lanterman@nau.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0</TotalTime>
  <Pages>3</Pages>
  <Words>869</Words>
  <Characters>5216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6073</CharactersWithSpaces>
  <SharedDoc>false</SharedDoc>
  <HLinks>
    <vt:vector size="6" baseType="variant">
      <vt:variant>
        <vt:i4>7274504</vt:i4>
      </vt:variant>
      <vt:variant>
        <vt:i4>0</vt:i4>
      </vt:variant>
      <vt:variant>
        <vt:i4>0</vt:i4>
      </vt:variant>
      <vt:variant>
        <vt:i4>5</vt:i4>
      </vt:variant>
      <vt:variant>
        <vt:lpwstr>mailto:Chris.Lanterman@nau.edu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clanterman</dc:creator>
  <cp:keywords/>
  <dc:description/>
  <cp:lastModifiedBy>lc94</cp:lastModifiedBy>
  <cp:revision>2</cp:revision>
  <cp:lastPrinted>2008-10-02T22:30:00Z</cp:lastPrinted>
  <dcterms:created xsi:type="dcterms:W3CDTF">2010-10-26T21:03:00Z</dcterms:created>
  <dcterms:modified xsi:type="dcterms:W3CDTF">2010-10-26T21:03:00Z</dcterms:modified>
</cp:coreProperties>
</file>